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hint="eastAsia" w:ascii="黑体" w:hAnsi="黑体" w:eastAsia="黑体"/>
          <w:sz w:val="30"/>
          <w:szCs w:val="30"/>
          <w:lang w:val="en-US" w:eastAsia="zh-CN"/>
        </w:rPr>
      </w:pPr>
      <w:r>
        <w:rPr>
          <w:rFonts w:hint="eastAsia" w:ascii="黑体" w:hAnsi="黑体" w:eastAsia="黑体"/>
          <w:sz w:val="30"/>
          <w:szCs w:val="30"/>
          <w:lang w:eastAsia="zh-CN"/>
        </w:rPr>
        <w:t>附件</w:t>
      </w:r>
      <w:r>
        <w:rPr>
          <w:rFonts w:hint="eastAsia" w:ascii="黑体" w:hAnsi="黑体" w:eastAsia="黑体"/>
          <w:sz w:val="30"/>
          <w:szCs w:val="30"/>
          <w:lang w:val="en-US" w:eastAsia="zh-CN"/>
        </w:rPr>
        <w:t>1</w:t>
      </w:r>
    </w:p>
    <w:p>
      <w:pPr>
        <w:rPr>
          <w:rFonts w:hint="eastAsia" w:ascii="仿宋_GB2312" w:hAnsi="仿宋" w:eastAsia="仿宋_GB2312" w:cs="宋体"/>
          <w:kern w:val="0"/>
          <w:sz w:val="30"/>
          <w:szCs w:val="30"/>
        </w:rPr>
      </w:pPr>
    </w:p>
    <w:p>
      <w:pPr>
        <w:rPr>
          <w:rFonts w:hint="eastAsia" w:ascii="仿宋_GB2312" w:hAnsi="仿宋" w:eastAsia="仿宋_GB2312" w:cs="宋体"/>
          <w:kern w:val="0"/>
          <w:sz w:val="30"/>
          <w:szCs w:val="30"/>
        </w:rPr>
      </w:pPr>
    </w:p>
    <w:p>
      <w:pPr>
        <w:rPr>
          <w:rFonts w:hint="eastAsia" w:ascii="仿宋_GB2312" w:hAnsi="仿宋" w:eastAsia="仿宋_GB2312" w:cs="宋体"/>
          <w:kern w:val="0"/>
          <w:sz w:val="30"/>
          <w:szCs w:val="30"/>
        </w:rPr>
      </w:pPr>
      <w:r>
        <w:rPr>
          <w:rFonts w:hint="eastAsia" w:ascii="仿宋_GB2312" w:hAnsi="仿宋" w:eastAsia="仿宋_GB2312" w:cs="宋体"/>
          <w:kern w:val="0"/>
          <w:sz w:val="30"/>
          <w:szCs w:val="30"/>
        </w:rPr>
        <mc:AlternateContent>
          <mc:Choice Requires="wpg">
            <w:drawing>
              <wp:anchor distT="0" distB="0" distL="114300" distR="114300" simplePos="0" relativeHeight="251660288" behindDoc="1" locked="0" layoutInCell="1" allowOverlap="1">
                <wp:simplePos x="0" y="0"/>
                <wp:positionH relativeFrom="column">
                  <wp:posOffset>-41910</wp:posOffset>
                </wp:positionH>
                <wp:positionV relativeFrom="paragraph">
                  <wp:posOffset>-534670</wp:posOffset>
                </wp:positionV>
                <wp:extent cx="5544820" cy="1942465"/>
                <wp:effectExtent l="0" t="4445" r="17780" b="0"/>
                <wp:wrapNone/>
                <wp:docPr id="3" name="组合 3"/>
                <wp:cNvGraphicFramePr/>
                <a:graphic xmlns:a="http://schemas.openxmlformats.org/drawingml/2006/main">
                  <a:graphicData uri="http://schemas.microsoft.com/office/word/2010/wordprocessingGroup">
                    <wpg:wgp>
                      <wpg:cNvGrpSpPr/>
                      <wpg:grpSpPr>
                        <a:xfrm>
                          <a:off x="0" y="0"/>
                          <a:ext cx="5544820" cy="1942465"/>
                          <a:chOff x="1578" y="2847"/>
                          <a:chExt cx="8732" cy="3059"/>
                        </a:xfrm>
                      </wpg:grpSpPr>
                      <wps:wsp>
                        <wps:cNvPr id="1" name="矩形 1"/>
                        <wps:cNvSpPr/>
                        <wps:spPr>
                          <a:xfrm>
                            <a:off x="1588" y="2847"/>
                            <a:ext cx="8652" cy="2764"/>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eastAsia" w:eastAsia="方正小标宋简体"/>
                                  <w:color w:val="FF0000"/>
                                  <w:w w:val="80"/>
                                </w:rPr>
                              </w:pPr>
                              <w:r>
                                <w:rPr>
                                  <w:rFonts w:hint="eastAsia" w:eastAsia="方正小标宋简体"/>
                                  <w:color w:val="FF0000"/>
                                  <w:spacing w:val="180"/>
                                  <w:w w:val="80"/>
                                  <w:sz w:val="100"/>
                                </w:rPr>
                                <w:t>河南省教育</w:t>
                              </w:r>
                              <w:r>
                                <w:rPr>
                                  <w:rFonts w:hint="eastAsia" w:eastAsia="方正小标宋简体"/>
                                  <w:color w:val="FF0000"/>
                                  <w:w w:val="80"/>
                                  <w:sz w:val="100"/>
                                </w:rPr>
                                <w:t>厅</w:t>
                              </w:r>
                            </w:p>
                          </w:txbxContent>
                        </wps:txbx>
                        <wps:bodyPr upright="1"/>
                      </wps:wsp>
                      <wps:wsp>
                        <wps:cNvPr id="2" name="直接连接符 2"/>
                        <wps:cNvCnPr/>
                        <wps:spPr>
                          <a:xfrm flipV="1">
                            <a:off x="1578" y="5905"/>
                            <a:ext cx="8732" cy="1"/>
                          </a:xfrm>
                          <a:prstGeom prst="line">
                            <a:avLst/>
                          </a:prstGeom>
                          <a:ln w="9525"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3pt;margin-top:-42.1pt;height:152.95pt;width:436.6pt;z-index:-251656192;mso-width-relative:page;mso-height-relative:page;" coordorigin="1578,2847" coordsize="8732,3059" o:gfxdata="UEsDBAoAAAAAAIdO4kAAAAAAAAAAAAAAAAAEAAAAZHJzL1BLAwQUAAAACACHTuJANlNqYdoAAAAK&#10;AQAADwAAAGRycy9kb3ducmV2LnhtbE2PwWrDMAyG74O9g9Fgt9ZxtmUhjVNG2XYqg7WD0ZubqElo&#10;LIfYTdq3n3paT0LSx69P+fJsOzHi4FtHGtQ8AoFUuqqlWsPP9mOWgvDBUGU6R6jhgh6Wxf1dbrLK&#10;TfSN4ybUgkPIZ0ZDE0KfSenLBq3xc9cj8e7gBmsCt0Mtq8FMHG47GUdRIq1piS80psdVg+Vxc7Ia&#10;PiczvT2p93F9PKwuu+3L1+9aodaPDypagAh4Dv8wXPVZHQp22rsTVV50GmZJwiTX9DkGwUCaXCd7&#10;DXGsXkEWubx9ofgDUEsDBBQAAAAIAIdO4kB35yMKvwIAACAHAAAOAAAAZHJzL2Uyb0RvYy54bWy9&#10;VU1v1DAQvSPxHyzfabLZzX5EzfbQrwsCpAJ3b+Iklhzbst3N7p0DJ8QdCSQkkJA4ckOIX1PKz2Ds&#10;ZFO2paJqBTk4djyemffmjbO7t6o5WlJtmBQpHuyEGFGRyZyJMsXPnh49mGJkLBE54VLQFK+pwXvz&#10;+/d2G5XQSFaS51QjcCJM0qgUV9aqJAhMVtGamB2pqIDNQuqaWFjqMsg1acB7zYMoDMdBI3WutMyo&#10;MfD1oN3Ec++/KGhmHxeFoRbxFENu1o/ajws3BvNdkpSaqIplXRrkFlnUhAkI2rs6IJagU82uuKpZ&#10;pqWRhd3JZB3IomAZ9RgAzSC8hOZYy1PlsZRJU6qeJqD2Ek+3dps9Wj7RiOUpHmIkSA0lOv/64uz1&#10;SzR03DSqTMDkWKsT9UR3H8p25eCuCl27NwBBK8/qumeVrizK4GMcj0bTCMjPYG8wG0WjcdzynlVQ&#10;HHduEE9AJ7AdTUeTzd5hd346GUbt4WEYz9xusAkcuPz6dBoFGjIXNJm70XRSEUU9+8Zx0NE06Gl6&#10;9+ns23s0cAm5yGDSc2QSA3T9gaBBPL0MdEPTdBx3MKPJeLQFkyRKG3tMZY3cJMUadO3lRpYPjW0Z&#10;2Zi4qEZylh8xzv1Cl4t9rtGSQA8c+afzvmXGBWpSPIujGMgm0IoFJxamtQJxGFH6eFsnzM0cu8QO&#10;iKnaBLwHF58kNbNU+1lFSX4ocmTXCgQo4KbALpma5hhxCheLm3lLSxi/iSVIhAtQiqtMWws3s6vF&#10;Cty46ULmayjpqdKsrIBSX0dvDhJqTf65lqDeXcu9+fLj1Yef39/CeP75I4oc2E5U+6JrvA2QVvyo&#10;4Ew9d3k7Krv+6/sonoVdj/Xy6ruoRbppoSva4gzYdz6v0daddRLC4/BBibbkdK1O/pc6/iIJf9nA&#10;Newz734Z7p7/fe0Vd/Fjm/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NlNqYdoAAAAKAQAADwAA&#10;AAAAAAABACAAAAAiAAAAZHJzL2Rvd25yZXYueG1sUEsBAhQAFAAAAAgAh07iQHfnIwq/AgAAIAcA&#10;AA4AAAAAAAAAAQAgAAAAKQEAAGRycy9lMm9Eb2MueG1sUEsFBgAAAAAGAAYAWQEAAFoGAAAAAA==&#10;">
                <o:lock v:ext="edit" aspectratio="f"/>
                <v:rect id="_x0000_s1026" o:spid="_x0000_s1026" o:spt="1" style="position:absolute;left:1588;top:2847;height:2764;width:8652;" fillcolor="#FFFFFF" filled="t" stroked="t" coordsize="21600,21600" o:gfxdata="UEsDBAoAAAAAAIdO4kAAAAAAAAAAAAAAAAAEAAAAZHJzL1BLAwQUAAAACACHTuJAX0nbPbcAAADa&#10;AAAADwAAAGRycy9kb3ducmV2LnhtbEVPS4vCMBC+C/sfwix407SyLNI1FtTKetiDz/uQzLbFZlKa&#10;+Pz1RhA8DR/fcyb51TbiTJ2vHStIhwkIYu1MzaWC/W45GIPwAdlg45gU3MhDPv3oTTAz7sIbOm9D&#10;KWII+wwVVCG0mZReV2TRD11LHLl/11kMEXalNB1eYrht5ChJvqXFmmNDhS3NK9LH7ckqWCMu1vdf&#10;rWfF7e+roPmhINco1f9Mkx8Qga7hLX65VybOh+crzyun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fSds9twAAANoAAAAP&#10;AAAAAAAAAAEAIAAAACIAAABkcnMvZG93bnJldi54bWxQSwECFAAUAAAACACHTuJAMy8FnjsAAAA5&#10;AAAAEAAAAAAAAAABACAAAAAGAQAAZHJzL3NoYXBleG1sLnhtbFBLBQYAAAAABgAGAFsBAACwAwAA&#10;AAA=&#10;">
                  <v:fill on="t" focussize="0,0"/>
                  <v:stroke color="#FFFFFF" joinstyle="miter"/>
                  <v:imagedata o:title=""/>
                  <o:lock v:ext="edit" aspectratio="f"/>
                  <v:textbox>
                    <w:txbxContent>
                      <w:p>
                        <w:pPr>
                          <w:jc w:val="center"/>
                          <w:rPr>
                            <w:rFonts w:hint="eastAsia" w:eastAsia="方正小标宋简体"/>
                            <w:color w:val="FF0000"/>
                            <w:w w:val="80"/>
                          </w:rPr>
                        </w:pPr>
                        <w:r>
                          <w:rPr>
                            <w:rFonts w:hint="eastAsia" w:eastAsia="方正小标宋简体"/>
                            <w:color w:val="FF0000"/>
                            <w:spacing w:val="180"/>
                            <w:w w:val="80"/>
                            <w:sz w:val="100"/>
                          </w:rPr>
                          <w:t>河南省教育</w:t>
                        </w:r>
                        <w:r>
                          <w:rPr>
                            <w:rFonts w:hint="eastAsia" w:eastAsia="方正小标宋简体"/>
                            <w:color w:val="FF0000"/>
                            <w:w w:val="80"/>
                            <w:sz w:val="100"/>
                          </w:rPr>
                          <w:t>厅</w:t>
                        </w:r>
                      </w:p>
                    </w:txbxContent>
                  </v:textbox>
                </v:rect>
                <v:line id="_x0000_s1026" o:spid="_x0000_s1026" o:spt="20" style="position:absolute;left:1578;top:5905;flip:y;height:1;width:8732;" filled="f" stroked="t" coordsize="21600,21600" o:gfxdata="UEsDBAoAAAAAAIdO4kAAAAAAAAAAAAAAAAAEAAAAZHJzL1BLAwQUAAAACACHTuJA8zmQkLwAAADa&#10;AAAADwAAAGRycy9kb3ducmV2LnhtbEWPQWvCQBSE74X+h+UVepG6Gw9SUlcPgiCFHlwVenxkX5Ng&#10;9m3IPjX5926h0OMwM98wq80YOnWjIbWRLRRzA4q4ir7l2sLpuHt7B5UE2WMXmSxMlGCzfn5aYenj&#10;nQ90c1KrDOFUooVGpC+1TlVDAdM89sTZ+4lDQMlyqLUf8J7hodMLY5Y6YMt5ocGetg1VF3cNFpzB&#10;6bM4nadxJrPL8dt9ufNSrH19KcwHKKFR/sN/7b23sIDfK/kG6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5kJC8AAAA&#10;2gAAAA8AAAAAAAAAAQAgAAAAIgAAAGRycy9kb3ducmV2LnhtbFBLAQIUABQAAAAIAIdO4kAzLwWe&#10;OwAAADkAAAAQAAAAAAAAAAEAIAAAAAsBAABkcnMvc2hhcGV4bWwueG1sUEsFBgAAAAAGAAYAWwEA&#10;ALUDAAAAAA==&#10;">
                  <v:fill on="f" focussize="0,0"/>
                  <v:stroke color="#FF0000" joinstyle="round"/>
                  <v:imagedata o:title=""/>
                  <o:lock v:ext="edit" aspectratio="f"/>
                </v:line>
              </v:group>
            </w:pict>
          </mc:Fallback>
        </mc:AlternateContent>
      </w:r>
    </w:p>
    <w:p>
      <w:pPr>
        <w:snapToGrid w:val="0"/>
        <w:rPr>
          <w:rFonts w:hint="eastAsia" w:ascii="仿宋_GB2312" w:hAnsi="仿宋" w:eastAsia="仿宋_GB2312" w:cs="宋体"/>
          <w:kern w:val="0"/>
          <w:sz w:val="18"/>
          <w:szCs w:val="18"/>
        </w:rPr>
      </w:pPr>
    </w:p>
    <w:p>
      <w:pPr>
        <w:rPr>
          <w:rFonts w:hint="eastAsia" w:ascii="仿宋_GB2312" w:hAnsi="仿宋" w:eastAsia="仿宋_GB2312" w:cs="宋体"/>
          <w:kern w:val="0"/>
          <w:sz w:val="30"/>
          <w:szCs w:val="30"/>
        </w:rPr>
      </w:pPr>
    </w:p>
    <w:p>
      <w:pPr>
        <w:jc w:val="center"/>
        <w:rPr>
          <w:rFonts w:hint="eastAsia" w:ascii="仿宋_GB2312" w:hAnsi="仿宋" w:eastAsia="仿宋_GB2312" w:cs="宋体"/>
          <w:kern w:val="0"/>
          <w:sz w:val="30"/>
          <w:szCs w:val="30"/>
        </w:rPr>
      </w:pPr>
      <w:r>
        <w:rPr>
          <w:rFonts w:hint="eastAsia" w:ascii="仿宋_GB2312" w:hAnsi="仿宋" w:eastAsia="仿宋_GB2312" w:cs="宋体"/>
          <w:kern w:val="0"/>
          <w:sz w:val="30"/>
          <w:szCs w:val="30"/>
        </w:rPr>
        <w:t>教科技〔2018〕750号</w:t>
      </w:r>
    </w:p>
    <w:p>
      <w:pPr>
        <w:jc w:val="center"/>
        <w:rPr>
          <w:rFonts w:hint="eastAsia" w:ascii="仿宋_GB2312" w:hAnsi="仿宋" w:eastAsia="仿宋_GB2312" w:cs="宋体"/>
          <w:kern w:val="0"/>
          <w:sz w:val="30"/>
          <w:szCs w:val="30"/>
        </w:rPr>
      </w:pPr>
    </w:p>
    <w:p>
      <w:pPr>
        <w:jc w:val="center"/>
        <w:rPr>
          <w:rFonts w:hint="eastAsia" w:ascii="仿宋_GB2312" w:hAnsi="仿宋" w:eastAsia="仿宋_GB2312" w:cs="宋体"/>
          <w:kern w:val="0"/>
          <w:sz w:val="30"/>
          <w:szCs w:val="30"/>
        </w:rPr>
      </w:pPr>
    </w:p>
    <w:p>
      <w:pPr>
        <w:snapToGrid w:val="0"/>
        <w:jc w:val="center"/>
        <w:rPr>
          <w:rFonts w:hint="eastAsia" w:ascii="方正小标宋简体" w:hAnsi="仿宋" w:eastAsia="方正小标宋简体" w:cs="宋体"/>
          <w:kern w:val="0"/>
          <w:sz w:val="44"/>
          <w:szCs w:val="44"/>
        </w:rPr>
      </w:pPr>
      <w:r>
        <w:rPr>
          <w:rFonts w:hint="eastAsia" w:ascii="方正小标宋简体" w:hAnsi="仿宋" w:eastAsia="方正小标宋简体" w:cs="宋体"/>
          <w:kern w:val="0"/>
          <w:sz w:val="44"/>
          <w:szCs w:val="44"/>
        </w:rPr>
        <w:t>河 南 省 教 育 厅</w:t>
      </w:r>
    </w:p>
    <w:p>
      <w:pPr>
        <w:snapToGrid w:val="0"/>
        <w:jc w:val="center"/>
        <w:rPr>
          <w:rFonts w:hint="eastAsia" w:ascii="方正小标宋简体" w:hAnsi="仿宋" w:eastAsia="方正小标宋简体" w:cs="宋体"/>
          <w:kern w:val="0"/>
          <w:sz w:val="44"/>
          <w:szCs w:val="44"/>
        </w:rPr>
      </w:pPr>
      <w:r>
        <w:rPr>
          <w:rFonts w:hint="eastAsia" w:ascii="方正小标宋简体" w:hAnsi="仿宋" w:eastAsia="方正小标宋简体" w:cs="宋体"/>
          <w:kern w:val="0"/>
          <w:sz w:val="44"/>
          <w:szCs w:val="44"/>
        </w:rPr>
        <w:t>关于开展2018年度高等学校科研实验室</w:t>
      </w:r>
    </w:p>
    <w:p>
      <w:pPr>
        <w:snapToGrid w:val="0"/>
        <w:jc w:val="center"/>
        <w:rPr>
          <w:rFonts w:hint="eastAsia" w:ascii="方正小标宋简体" w:hAnsi="仿宋" w:eastAsia="方正小标宋简体" w:cs="宋体"/>
          <w:kern w:val="0"/>
          <w:sz w:val="44"/>
          <w:szCs w:val="44"/>
        </w:rPr>
      </w:pPr>
      <w:r>
        <w:rPr>
          <w:rFonts w:hint="eastAsia" w:ascii="方正小标宋简体" w:hAnsi="仿宋" w:eastAsia="方正小标宋简体" w:cs="宋体"/>
          <w:kern w:val="0"/>
          <w:sz w:val="44"/>
          <w:szCs w:val="44"/>
        </w:rPr>
        <w:t>安全检查工作的通知</w:t>
      </w:r>
    </w:p>
    <w:p>
      <w:pPr>
        <w:rPr>
          <w:rFonts w:hint="eastAsia" w:ascii="仿宋_GB2312" w:hAnsi="仿宋" w:eastAsia="仿宋_GB2312" w:cs="宋体"/>
          <w:kern w:val="0"/>
          <w:sz w:val="30"/>
          <w:szCs w:val="30"/>
        </w:rPr>
      </w:pPr>
    </w:p>
    <w:p>
      <w:pPr>
        <w:rPr>
          <w:rFonts w:hint="eastAsia" w:ascii="仿宋_GB2312" w:hAnsi="仿宋" w:eastAsia="仿宋_GB2312" w:cs="宋体"/>
          <w:kern w:val="0"/>
          <w:sz w:val="30"/>
          <w:szCs w:val="30"/>
        </w:rPr>
      </w:pPr>
      <w:r>
        <w:rPr>
          <w:rFonts w:hint="eastAsia" w:ascii="仿宋_GB2312" w:hAnsi="仿宋" w:eastAsia="仿宋_GB2312" w:cs="宋体"/>
          <w:kern w:val="0"/>
          <w:sz w:val="30"/>
          <w:szCs w:val="30"/>
        </w:rPr>
        <w:t>各普通高等学校：</w:t>
      </w:r>
    </w:p>
    <w:p>
      <w:pPr>
        <w:ind w:firstLine="624" w:firstLineChars="200"/>
        <w:rPr>
          <w:rFonts w:hint="eastAsia" w:ascii="仿宋_GB2312" w:hAnsi="仿宋" w:eastAsia="仿宋_GB2312" w:cs="宋体"/>
          <w:kern w:val="0"/>
          <w:sz w:val="30"/>
          <w:szCs w:val="30"/>
        </w:rPr>
      </w:pPr>
      <w:r>
        <w:rPr>
          <w:rFonts w:hint="eastAsia" w:ascii="仿宋_GB2312" w:hAnsi="仿宋" w:eastAsia="仿宋_GB2312" w:cs="宋体"/>
          <w:kern w:val="0"/>
          <w:sz w:val="30"/>
          <w:szCs w:val="30"/>
        </w:rPr>
        <w:t>根据教育部科技司《关于开展2018年度高等学校科研实验室安全检查工作的通知》（教技司〔2018〕254号）要求，为进一步加强高校科研实验室安全，健全安全管理体制机制，提升高等学校科研实验室安全管理水平，确保广大师生人身安全和校园和谐稳定，我厅决定开展2018年度高校科研实验室安全检查工作。现将有关事宜通知如下：</w:t>
      </w:r>
    </w:p>
    <w:p>
      <w:pPr>
        <w:ind w:firstLine="624" w:firstLineChars="200"/>
        <w:rPr>
          <w:rFonts w:hint="eastAsia" w:ascii="黑体" w:hAnsi="黑体" w:eastAsia="黑体" w:cs="宋体"/>
          <w:kern w:val="0"/>
          <w:sz w:val="30"/>
          <w:szCs w:val="30"/>
        </w:rPr>
      </w:pPr>
      <w:r>
        <w:rPr>
          <w:rFonts w:hint="eastAsia" w:ascii="黑体" w:hAnsi="黑体" w:eastAsia="黑体" w:cs="宋体"/>
          <w:bCs/>
          <w:kern w:val="0"/>
          <w:sz w:val="30"/>
          <w:szCs w:val="30"/>
        </w:rPr>
        <w:t>一、总体要求和重点</w:t>
      </w:r>
    </w:p>
    <w:p>
      <w:pPr>
        <w:ind w:firstLine="624" w:firstLineChars="200"/>
        <w:rPr>
          <w:rFonts w:hint="eastAsia" w:ascii="仿宋_GB2312" w:hAnsi="仿宋" w:eastAsia="仿宋_GB2312" w:cs="宋体"/>
          <w:kern w:val="0"/>
          <w:sz w:val="30"/>
          <w:szCs w:val="30"/>
        </w:rPr>
      </w:pPr>
      <w:r>
        <w:rPr>
          <w:rFonts w:hint="eastAsia" w:ascii="仿宋_GB2312" w:hAnsi="仿宋" w:eastAsia="仿宋_GB2312" w:cs="宋体"/>
          <w:kern w:val="0"/>
          <w:sz w:val="30"/>
          <w:szCs w:val="30"/>
        </w:rPr>
        <w:t>按照安全生产“党政同责、一岗双责、齐抓共管、失职追责”的要求，本次检查重点是高等学校科研实验室安全领导责任制建立和责任体系建设、安全自查制度落实及实验室重大安全隐患排查。</w:t>
      </w:r>
    </w:p>
    <w:p>
      <w:pPr>
        <w:ind w:firstLine="624" w:firstLineChars="200"/>
        <w:rPr>
          <w:rFonts w:hint="eastAsia" w:ascii="黑体" w:hAnsi="黑体" w:eastAsia="黑体" w:cs="宋体"/>
          <w:bCs/>
          <w:kern w:val="0"/>
          <w:sz w:val="30"/>
          <w:szCs w:val="30"/>
        </w:rPr>
      </w:pPr>
      <w:r>
        <w:rPr>
          <w:rFonts w:hint="eastAsia" w:ascii="黑体" w:hAnsi="黑体" w:eastAsia="黑体" w:cs="宋体"/>
          <w:bCs/>
          <w:kern w:val="0"/>
          <w:sz w:val="30"/>
          <w:szCs w:val="30"/>
        </w:rPr>
        <w:t>二、检查范围及内容</w:t>
      </w:r>
    </w:p>
    <w:p>
      <w:pPr>
        <w:ind w:firstLine="624" w:firstLineChars="200"/>
        <w:rPr>
          <w:rFonts w:hint="eastAsia" w:ascii="仿宋_GB2312" w:hAnsi="仿宋" w:eastAsia="仿宋_GB2312" w:cs="宋体"/>
          <w:kern w:val="0"/>
          <w:sz w:val="30"/>
          <w:szCs w:val="30"/>
        </w:rPr>
      </w:pPr>
      <w:r>
        <w:rPr>
          <w:rFonts w:hint="eastAsia" w:ascii="仿宋_GB2312" w:hAnsi="仿宋" w:eastAsia="仿宋_GB2312" w:cs="宋体"/>
          <w:kern w:val="0"/>
          <w:sz w:val="30"/>
          <w:szCs w:val="30"/>
        </w:rPr>
        <w:t>检查范围为我省所有普通高等院校建设的科研实验室，对于近3年发生安全事故、以往检查发现未有效建立安全领导责任体系的高等学校将列为重点检查对象。</w:t>
      </w:r>
    </w:p>
    <w:p>
      <w:pPr>
        <w:ind w:firstLine="624" w:firstLineChars="200"/>
        <w:rPr>
          <w:rFonts w:hint="eastAsia" w:ascii="仿宋_GB2312" w:hAnsi="仿宋" w:eastAsia="仿宋_GB2312" w:cs="宋体"/>
          <w:kern w:val="0"/>
          <w:sz w:val="30"/>
          <w:szCs w:val="30"/>
        </w:rPr>
      </w:pPr>
      <w:r>
        <w:rPr>
          <w:rFonts w:hint="eastAsia" w:ascii="仿宋_GB2312" w:hAnsi="仿宋" w:eastAsia="仿宋_GB2312" w:cs="宋体"/>
          <w:kern w:val="0"/>
          <w:sz w:val="30"/>
          <w:szCs w:val="30"/>
        </w:rPr>
        <w:t>检查内容包括科研实验室的组织体系、规章制度、安全教育、安全检查、试验场所、安全设施、基础安全、化学安全、生物安全、辐射安全、机电等安全、特种设备与常规冷热设备等方面。</w:t>
      </w:r>
    </w:p>
    <w:p>
      <w:pPr>
        <w:ind w:firstLine="624" w:firstLineChars="200"/>
        <w:rPr>
          <w:rFonts w:hint="eastAsia" w:ascii="黑体" w:hAnsi="黑体" w:eastAsia="黑体" w:cs="宋体"/>
          <w:bCs/>
          <w:kern w:val="0"/>
          <w:sz w:val="30"/>
          <w:szCs w:val="30"/>
        </w:rPr>
      </w:pPr>
      <w:r>
        <w:rPr>
          <w:rFonts w:hint="eastAsia" w:ascii="黑体" w:hAnsi="黑体" w:eastAsia="黑体" w:cs="宋体"/>
          <w:bCs/>
          <w:kern w:val="0"/>
          <w:sz w:val="30"/>
          <w:szCs w:val="30"/>
        </w:rPr>
        <w:t>三、检查办法</w:t>
      </w:r>
    </w:p>
    <w:p>
      <w:pPr>
        <w:ind w:firstLine="624" w:firstLineChars="200"/>
        <w:rPr>
          <w:rFonts w:hint="eastAsia" w:ascii="仿宋_GB2312" w:hAnsi="仿宋" w:eastAsia="仿宋_GB2312" w:cs="宋体"/>
          <w:kern w:val="0"/>
          <w:sz w:val="30"/>
          <w:szCs w:val="30"/>
        </w:rPr>
      </w:pPr>
      <w:r>
        <w:rPr>
          <w:rFonts w:hint="eastAsia" w:ascii="仿宋_GB2312" w:hAnsi="仿宋" w:eastAsia="仿宋_GB2312" w:cs="宋体"/>
          <w:kern w:val="0"/>
          <w:sz w:val="30"/>
          <w:szCs w:val="30"/>
        </w:rPr>
        <w:t>（一）学校自查、整改。各高等学校按照要求进行布置动员，结合自身实际，制定安全检查与专项整治实施方案。请参照《高等学校实验室安全检查项目表（2018）》，组织对本校各类科研实验室及相关场所进行全面检查和自查。对自查中发现的问题建立安全隐患台账，及时进行整改，做好整改记录，对短期无法整改的要制定切实可行的整改方案。请各高校于9月28日前将自查整改总结材料和《高等学校实验室安全隐患自查台账》（附件2）各一式两份报送我厅，同时发送电子稿。</w:t>
      </w:r>
    </w:p>
    <w:p>
      <w:pPr>
        <w:ind w:firstLine="624" w:firstLineChars="200"/>
        <w:rPr>
          <w:rFonts w:hint="eastAsia" w:ascii="仿宋_GB2312" w:hAnsi="仿宋" w:eastAsia="仿宋_GB2312" w:cs="宋体"/>
          <w:kern w:val="0"/>
          <w:sz w:val="30"/>
          <w:szCs w:val="30"/>
        </w:rPr>
      </w:pPr>
      <w:r>
        <w:rPr>
          <w:rFonts w:hint="eastAsia" w:ascii="仿宋_GB2312" w:hAnsi="仿宋" w:eastAsia="仿宋_GB2312" w:cs="宋体"/>
          <w:kern w:val="0"/>
          <w:sz w:val="30"/>
          <w:szCs w:val="30"/>
        </w:rPr>
        <w:t>（二）教育厅督查。在学校自查的基础上，我厅将委托河南省高校科研管理研究会组织专家或联合教育部科技司检查组随机抽取部分高校，采取听取情况汇报、查阅相关资料、实施现场检查等方式对高校科研实验室进行督查，并对抽查结果不合格的科研实验室及高校进行通报。</w:t>
      </w:r>
    </w:p>
    <w:p>
      <w:pPr>
        <w:ind w:firstLine="624" w:firstLineChars="200"/>
        <w:rPr>
          <w:rFonts w:hint="eastAsia" w:ascii="黑体" w:hAnsi="黑体" w:eastAsia="黑体" w:cs="宋体"/>
          <w:bCs/>
          <w:kern w:val="0"/>
          <w:sz w:val="30"/>
          <w:szCs w:val="30"/>
        </w:rPr>
      </w:pPr>
      <w:r>
        <w:rPr>
          <w:rFonts w:hint="eastAsia" w:ascii="黑体" w:hAnsi="黑体" w:eastAsia="黑体" w:cs="宋体"/>
          <w:bCs/>
          <w:kern w:val="0"/>
          <w:sz w:val="30"/>
          <w:szCs w:val="30"/>
        </w:rPr>
        <w:t>四、工作要求</w:t>
      </w:r>
    </w:p>
    <w:p>
      <w:pPr>
        <w:ind w:firstLine="624" w:firstLineChars="200"/>
        <w:rPr>
          <w:rFonts w:hint="eastAsia" w:ascii="仿宋_GB2312" w:hAnsi="仿宋" w:eastAsia="仿宋_GB2312" w:cs="宋体"/>
          <w:kern w:val="0"/>
          <w:sz w:val="30"/>
          <w:szCs w:val="30"/>
        </w:rPr>
      </w:pPr>
      <w:r>
        <w:rPr>
          <w:rFonts w:hint="eastAsia" w:ascii="仿宋_GB2312" w:hAnsi="仿宋" w:eastAsia="仿宋_GB2312" w:cs="宋体"/>
          <w:kern w:val="0"/>
          <w:sz w:val="30"/>
          <w:szCs w:val="30"/>
        </w:rPr>
        <w:t>各高校要高度重视实验室建设安全工作，厘清职责，明确分工，统筹安排，精心组织。要明确一名领导同志具体负责，相关部门专人抓好落实，按时、按要求做好科研实验室自查整改工作，确保师生顺利开展科学实验。</w:t>
      </w:r>
    </w:p>
    <w:p>
      <w:pPr>
        <w:ind w:firstLine="624" w:firstLineChars="200"/>
        <w:rPr>
          <w:rFonts w:hint="eastAsia" w:ascii="黑体" w:hAnsi="黑体" w:eastAsia="黑体" w:cs="宋体"/>
          <w:bCs/>
          <w:kern w:val="0"/>
          <w:sz w:val="30"/>
          <w:szCs w:val="30"/>
        </w:rPr>
      </w:pPr>
      <w:r>
        <w:rPr>
          <w:rFonts w:hint="eastAsia" w:ascii="黑体" w:hAnsi="黑体" w:eastAsia="黑体" w:cs="宋体"/>
          <w:bCs/>
          <w:kern w:val="0"/>
          <w:sz w:val="30"/>
          <w:szCs w:val="30"/>
        </w:rPr>
        <w:t>五、联系方式</w:t>
      </w:r>
    </w:p>
    <w:p>
      <w:pPr>
        <w:ind w:firstLine="624" w:firstLineChars="200"/>
        <w:rPr>
          <w:rFonts w:hint="eastAsia" w:ascii="仿宋_GB2312" w:hAnsi="仿宋" w:eastAsia="仿宋_GB2312" w:cs="宋体"/>
          <w:kern w:val="0"/>
          <w:sz w:val="30"/>
          <w:szCs w:val="30"/>
        </w:rPr>
      </w:pPr>
      <w:r>
        <w:rPr>
          <w:rFonts w:hint="eastAsia" w:ascii="仿宋_GB2312" w:hAnsi="仿宋" w:eastAsia="仿宋_GB2312" w:cs="宋体"/>
          <w:kern w:val="0"/>
          <w:sz w:val="30"/>
          <w:szCs w:val="30"/>
        </w:rPr>
        <w:t>教育厅科技处  杨媛媛  电 话：0371—69691667</w:t>
      </w:r>
    </w:p>
    <w:p>
      <w:pPr>
        <w:ind w:firstLine="624" w:firstLineChars="200"/>
        <w:rPr>
          <w:rFonts w:hint="eastAsia" w:ascii="仿宋_GB2312" w:hAnsi="仿宋" w:eastAsia="仿宋_GB2312" w:cs="宋体"/>
          <w:kern w:val="0"/>
          <w:sz w:val="30"/>
          <w:szCs w:val="30"/>
        </w:rPr>
      </w:pPr>
      <w:r>
        <w:rPr>
          <w:rFonts w:hint="eastAsia" w:ascii="仿宋_GB2312" w:hAnsi="仿宋" w:eastAsia="仿宋_GB2312" w:cs="宋体"/>
          <w:kern w:val="0"/>
          <w:sz w:val="30"/>
          <w:szCs w:val="30"/>
        </w:rPr>
        <w:t>河南省高校科研管理研究会秘书处：</w:t>
      </w:r>
    </w:p>
    <w:p>
      <w:pPr>
        <w:ind w:firstLine="624" w:firstLineChars="200"/>
        <w:rPr>
          <w:rFonts w:hint="eastAsia" w:ascii="仿宋_GB2312" w:hAnsi="仿宋" w:eastAsia="仿宋_GB2312" w:cs="宋体"/>
          <w:kern w:val="0"/>
          <w:sz w:val="30"/>
          <w:szCs w:val="30"/>
        </w:rPr>
      </w:pPr>
      <w:r>
        <w:rPr>
          <w:rFonts w:hint="eastAsia" w:ascii="仿宋_GB2312" w:hAnsi="仿宋" w:eastAsia="仿宋_GB2312" w:cs="宋体"/>
          <w:kern w:val="0"/>
          <w:sz w:val="30"/>
          <w:szCs w:val="30"/>
        </w:rPr>
        <w:t>夏建磊  电 话：0371-69975779  手 机：18638761260</w:t>
      </w:r>
    </w:p>
    <w:p>
      <w:pPr>
        <w:ind w:firstLine="624" w:firstLineChars="200"/>
        <w:rPr>
          <w:rFonts w:hint="eastAsia" w:ascii="仿宋_GB2312" w:hAnsi="仿宋" w:eastAsia="仿宋_GB2312" w:cs="宋体"/>
          <w:kern w:val="0"/>
          <w:sz w:val="30"/>
          <w:szCs w:val="30"/>
        </w:rPr>
      </w:pPr>
      <w:r>
        <w:rPr>
          <w:rFonts w:hint="eastAsia" w:ascii="仿宋_GB2312" w:hAnsi="仿宋" w:eastAsia="仿宋_GB2312" w:cs="宋体"/>
          <w:kern w:val="0"/>
          <w:sz w:val="30"/>
          <w:szCs w:val="30"/>
        </w:rPr>
        <w:t>材料受理地址：郑州市中原区中原中路41号中原工学院基础实验楼812房间（如邮寄请发邮政快递EMS）  邮编：450007</w:t>
      </w:r>
    </w:p>
    <w:p>
      <w:pPr>
        <w:ind w:firstLine="624" w:firstLineChars="200"/>
        <w:rPr>
          <w:rFonts w:hint="eastAsia" w:ascii="仿宋_GB2312" w:hAnsi="仿宋" w:eastAsia="仿宋_GB2312" w:cs="宋体"/>
          <w:kern w:val="0"/>
          <w:sz w:val="30"/>
          <w:szCs w:val="30"/>
        </w:rPr>
      </w:pPr>
      <w:r>
        <w:rPr>
          <w:rFonts w:hint="eastAsia" w:ascii="仿宋_GB2312" w:hAnsi="仿宋" w:eastAsia="仿宋_GB2312" w:cs="宋体"/>
          <w:kern w:val="0"/>
          <w:sz w:val="30"/>
          <w:szCs w:val="30"/>
        </w:rPr>
        <w:t>电子邮箱：xjl@zzti.edu.cn</w:t>
      </w:r>
    </w:p>
    <w:p>
      <w:pPr>
        <w:ind w:firstLine="624" w:firstLineChars="200"/>
        <w:rPr>
          <w:rFonts w:hint="eastAsia" w:ascii="仿宋_GB2312" w:hAnsi="宋体" w:eastAsia="仿宋_GB2312" w:cs="宋体"/>
          <w:kern w:val="0"/>
          <w:sz w:val="30"/>
          <w:szCs w:val="30"/>
          <w:lang w:val="ru-RU"/>
        </w:rPr>
      </w:pPr>
    </w:p>
    <w:p>
      <w:pPr>
        <w:ind w:firstLine="624" w:firstLineChars="200"/>
        <w:rPr>
          <w:rFonts w:hint="eastAsia" w:ascii="仿宋_GB2312" w:hAnsi="仿宋" w:eastAsia="仿宋_GB2312" w:cs="宋体"/>
          <w:kern w:val="0"/>
          <w:sz w:val="30"/>
          <w:szCs w:val="30"/>
        </w:rPr>
      </w:pPr>
      <w:r>
        <w:rPr>
          <w:rFonts w:hint="eastAsia" w:ascii="仿宋_GB2312" w:hAnsi="仿宋" w:eastAsia="仿宋_GB2312" w:cs="宋体"/>
          <w:kern w:val="0"/>
          <w:sz w:val="30"/>
          <w:szCs w:val="30"/>
        </w:rPr>
        <w:t>附件：</w:t>
      </w:r>
      <w:r>
        <w:rPr>
          <w:rFonts w:hint="eastAsia" w:ascii="仿宋_GB2312" w:hAnsi="仿宋" w:eastAsia="仿宋_GB2312" w:cs="宋体"/>
          <w:kern w:val="0"/>
          <w:sz w:val="30"/>
          <w:szCs w:val="30"/>
        </w:rPr>
        <w:fldChar w:fldCharType="begin"/>
      </w:r>
      <w:r>
        <w:rPr>
          <w:rFonts w:hint="eastAsia" w:ascii="仿宋_GB2312" w:hAnsi="仿宋" w:eastAsia="仿宋_GB2312" w:cs="宋体"/>
          <w:kern w:val="0"/>
          <w:sz w:val="30"/>
          <w:szCs w:val="30"/>
        </w:rPr>
        <w:instrText xml:space="preserve">HYPERLINK "http://www.moe.edu.cn/s78/A16/s8213/A16_sjhj/201807/W020180713397350340674.docx" \t "_blank"</w:instrText>
      </w:r>
      <w:r>
        <w:rPr>
          <w:rFonts w:hint="eastAsia" w:ascii="仿宋_GB2312" w:hAnsi="仿宋" w:eastAsia="仿宋_GB2312" w:cs="宋体"/>
          <w:kern w:val="0"/>
          <w:sz w:val="30"/>
          <w:szCs w:val="30"/>
        </w:rPr>
        <w:fldChar w:fldCharType="separate"/>
      </w:r>
      <w:r>
        <w:rPr>
          <w:rFonts w:hint="eastAsia" w:ascii="仿宋_GB2312" w:hAnsi="仿宋" w:eastAsia="仿宋_GB2312" w:cs="宋体"/>
          <w:kern w:val="0"/>
          <w:sz w:val="30"/>
          <w:szCs w:val="30"/>
        </w:rPr>
        <w:t>高等学校实验室安全检查项目表（2018）</w:t>
      </w:r>
      <w:r>
        <w:rPr>
          <w:rFonts w:hint="eastAsia" w:ascii="仿宋_GB2312" w:hAnsi="仿宋" w:eastAsia="仿宋_GB2312" w:cs="宋体"/>
          <w:kern w:val="0"/>
          <w:sz w:val="30"/>
          <w:szCs w:val="30"/>
        </w:rPr>
        <w:fldChar w:fldCharType="end"/>
      </w:r>
    </w:p>
    <w:p>
      <w:pPr>
        <w:ind w:firstLine="1560" w:firstLineChars="500"/>
        <w:rPr>
          <w:rFonts w:hint="eastAsia" w:ascii="仿宋_GB2312" w:hAnsi="仿宋" w:eastAsia="仿宋_GB2312" w:cs="宋体"/>
          <w:kern w:val="0"/>
          <w:sz w:val="30"/>
          <w:szCs w:val="30"/>
        </w:rPr>
      </w:pPr>
      <w:r>
        <w:rPr>
          <w:rFonts w:hint="eastAsia" w:ascii="仿宋_GB2312" w:hAnsi="仿宋" w:eastAsia="仿宋_GB2312" w:cs="宋体"/>
          <w:kern w:val="0"/>
          <w:sz w:val="30"/>
          <w:szCs w:val="30"/>
        </w:rPr>
        <w:fldChar w:fldCharType="begin"/>
      </w:r>
      <w:r>
        <w:rPr>
          <w:rFonts w:hint="eastAsia" w:ascii="仿宋_GB2312" w:hAnsi="仿宋" w:eastAsia="仿宋_GB2312" w:cs="宋体"/>
          <w:kern w:val="0"/>
          <w:sz w:val="30"/>
          <w:szCs w:val="30"/>
        </w:rPr>
        <w:instrText xml:space="preserve">HYPERLINK "http://www.moe.edu.cn/s78/A16/s8213/A16_sjhj/201807/W020180713397350357121.docx" \t "_blank"</w:instrText>
      </w:r>
      <w:r>
        <w:rPr>
          <w:rFonts w:hint="eastAsia" w:ascii="仿宋_GB2312" w:hAnsi="仿宋" w:eastAsia="仿宋_GB2312" w:cs="宋体"/>
          <w:kern w:val="0"/>
          <w:sz w:val="30"/>
          <w:szCs w:val="30"/>
        </w:rPr>
        <w:fldChar w:fldCharType="separate"/>
      </w:r>
      <w:r>
        <w:rPr>
          <w:rFonts w:hint="eastAsia" w:ascii="仿宋_GB2312" w:hAnsi="仿宋" w:eastAsia="仿宋_GB2312" w:cs="宋体"/>
          <w:kern w:val="0"/>
          <w:sz w:val="30"/>
          <w:szCs w:val="30"/>
        </w:rPr>
        <w:t>高等学校实验室安全隐患自查台账</w:t>
      </w:r>
      <w:r>
        <w:rPr>
          <w:rFonts w:hint="eastAsia" w:ascii="仿宋_GB2312" w:hAnsi="仿宋" w:eastAsia="仿宋_GB2312" w:cs="宋体"/>
          <w:kern w:val="0"/>
          <w:sz w:val="30"/>
          <w:szCs w:val="30"/>
        </w:rPr>
        <w:fldChar w:fldCharType="end"/>
      </w:r>
    </w:p>
    <w:p>
      <w:pPr>
        <w:ind w:firstLine="624" w:firstLineChars="200"/>
        <w:rPr>
          <w:rFonts w:hint="eastAsia" w:ascii="仿宋_GB2312" w:hAnsi="仿宋" w:eastAsia="仿宋_GB2312" w:cs="宋体"/>
          <w:kern w:val="0"/>
          <w:sz w:val="30"/>
          <w:szCs w:val="30"/>
        </w:rPr>
      </w:pPr>
    </w:p>
    <w:p>
      <w:pPr>
        <w:ind w:firstLine="624" w:firstLineChars="200"/>
        <w:rPr>
          <w:rFonts w:hint="eastAsia" w:ascii="仿宋_GB2312" w:hAnsi="仿宋" w:eastAsia="仿宋_GB2312" w:cs="宋体"/>
          <w:kern w:val="0"/>
          <w:sz w:val="30"/>
          <w:szCs w:val="30"/>
        </w:rPr>
      </w:pPr>
    </w:p>
    <w:p>
      <w:pPr>
        <w:ind w:firstLine="5363" w:firstLineChars="1719"/>
        <w:rPr>
          <w:rFonts w:hint="eastAsia" w:ascii="仿宋_GB2312" w:hAnsi="仿宋" w:eastAsia="仿宋_GB2312" w:cs="宋体"/>
          <w:kern w:val="0"/>
          <w:sz w:val="30"/>
          <w:szCs w:val="30"/>
        </w:rPr>
      </w:pPr>
      <w:r>
        <w:rPr>
          <w:rFonts w:hint="eastAsia" w:ascii="仿宋_GB2312" w:hAnsi="仿宋" w:eastAsia="仿宋_GB2312" w:cs="宋体"/>
          <w:kern w:val="0"/>
          <w:sz w:val="30"/>
          <w:szCs w:val="30"/>
        </w:rPr>
        <w:t>2018年9月7日</w:t>
      </w:r>
    </w:p>
    <w:p>
      <w:pPr>
        <w:rPr>
          <w:rFonts w:hint="eastAsia" w:ascii="仿宋_GB2312" w:hAnsi="仿宋" w:eastAsia="仿宋_GB2312" w:cs="宋体"/>
          <w:kern w:val="0"/>
          <w:sz w:val="30"/>
          <w:szCs w:val="30"/>
        </w:rPr>
      </w:pPr>
    </w:p>
    <w:p>
      <w:pPr>
        <w:jc w:val="center"/>
        <w:rPr>
          <w:rFonts w:hint="eastAsia" w:ascii="仿宋_GB2312" w:hAnsi="仿宋" w:eastAsia="仿宋_GB2312" w:cs="宋体"/>
          <w:kern w:val="0"/>
          <w:sz w:val="30"/>
          <w:szCs w:val="30"/>
        </w:rPr>
      </w:pPr>
      <w:r>
        <w:drawing>
          <wp:anchor distT="0" distB="0" distL="114300" distR="114300" simplePos="0" relativeHeight="251664384" behindDoc="1" locked="0" layoutInCell="1" allowOverlap="1">
            <wp:simplePos x="0" y="0"/>
            <wp:positionH relativeFrom="column">
              <wp:posOffset>3723005</wp:posOffset>
            </wp:positionH>
            <wp:positionV relativeFrom="paragraph">
              <wp:posOffset>441325</wp:posOffset>
            </wp:positionV>
            <wp:extent cx="1791970" cy="475615"/>
            <wp:effectExtent l="0" t="0" r="17780" b="635"/>
            <wp:wrapNone/>
            <wp:docPr id="4" name="图片 2" descr="教科技〔2018〕750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教科技〔2018〕750号"/>
                    <pic:cNvPicPr>
                      <a:picLocks noChangeAspect="1"/>
                    </pic:cNvPicPr>
                  </pic:nvPicPr>
                  <pic:blipFill>
                    <a:blip r:embed="rId5"/>
                    <a:stretch>
                      <a:fillRect/>
                    </a:stretch>
                  </pic:blipFill>
                  <pic:spPr>
                    <a:xfrm>
                      <a:off x="0" y="0"/>
                      <a:ext cx="1791970" cy="475615"/>
                    </a:xfrm>
                    <a:prstGeom prst="rect">
                      <a:avLst/>
                    </a:prstGeom>
                    <a:noFill/>
                    <a:ln w="9525">
                      <a:noFill/>
                    </a:ln>
                  </pic:spPr>
                </pic:pic>
              </a:graphicData>
            </a:graphic>
          </wp:anchor>
        </w:drawing>
      </w:r>
      <w:r>
        <w:rPr>
          <w:rFonts w:hint="eastAsia" w:ascii="仿宋_GB2312" w:hAnsi="仿宋" w:eastAsia="仿宋_GB2312" w:cs="宋体"/>
          <w:kern w:val="0"/>
          <w:sz w:val="30"/>
          <w:szCs w:val="3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497830" cy="0"/>
                <wp:effectExtent l="0" t="0" r="0" b="0"/>
                <wp:wrapNone/>
                <wp:docPr id="5" name="直接连接符 5"/>
                <wp:cNvGraphicFramePr/>
                <a:graphic xmlns:a="http://schemas.openxmlformats.org/drawingml/2006/main">
                  <a:graphicData uri="http://schemas.microsoft.com/office/word/2010/wordprocessingShape">
                    <wps:wsp>
                      <wps:cNvSpPr/>
                      <wps:spPr>
                        <a:xfrm>
                          <a:off x="0" y="0"/>
                          <a:ext cx="54978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2.9pt;z-index:251662336;mso-width-relative:page;mso-height-relative:page;" filled="f" stroked="t" coordsize="21600,21600" o:gfxdata="UEsDBAoAAAAAAIdO4kAAAAAAAAAAAAAAAAAEAAAAZHJzL1BLAwQUAAAACACHTuJADoS9KNEAAAAC&#10;AQAADwAAAGRycy9kb3ducmV2LnhtbE2PzU7DMBCE70i8g7VIXCpqt4iqCnF6AHLrhdKq1228JBHx&#10;Oo3dP56eLRe4rDSa0ew3+eLsO3WkIbaBLUzGBhRxFVzLtYX1R/kwBxUTssMuMFm4UIRFcXuTY+bC&#10;id/puEq1khKOGVpoUuozrWPVkMc4Dj2xeJ9h8JhEDrV2A56k3Hd6asxMe2xZPjTY00tD1dfq4C3E&#10;ckP78ntUjcz2sQ403b8u39Da+7uJeQaV6Jz+wnDFF3QohGkXDuyi6izIkPR7xZvPnmTG7ip1kev/&#10;6MUPUEsDBBQAAAAIAIdO4kCV1S4d2gEAAJYDAAAOAAAAZHJzL2Uyb0RvYy54bWytU0uOEzEQ3SNx&#10;B8t70kkgMNOaziwIwwbBSAMHqPjTbck/uTzp5BJcAIkdrFiyn9swHIOyk8nw2SBEFpWyq/z83nP1&#10;2fnWWbZRCU3wHZ9NppwpL4I0vu/4u7cXj044wwxegg1edXynkJ8vHz44G2Or5mEIVqrECMRjO8aO&#10;DznHtmlQDMoBTkJUnoo6JAeZlqlvZIKR0J1t5tPp02YMScYUhEKk3dW+yJcVX2sl8hutUWVmO07c&#10;co2pxnWJzfIM2j5BHIw40IB/YOHAeLr0CLWCDOw6mT+gnBEpYNB5IoJrgtZGqKqB1Mymv6m5GiCq&#10;qoXMwXi0Cf8frHi9uUzMyI4vOPPg6IluP3z99v7T95uPFG+/fGaLYtIYsaXeq3iZDiuktCje6uTK&#10;P2lh22rs7mis2mYmaHPx5PTZyWPyX9zVmvuDMWF+qYJjJem4Nb5ohhY2rzDTZdR611K2rWdjx08X&#10;cyIsgEZGW8iUukgi0Pf1LAZr5IWxtpzA1K+f28Q2UIag/ookwv2lrVyyAhz2fbW0H49BgXzhJcu7&#10;SPZ4mmNeKDglObOKxr5kBAhtBmP/ppOutp4YFFf3PpZsHeSOHuM6JtMP5MSssiwVevzK9zCoZbp+&#10;Xlek+89p+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OhL0o0QAAAAIBAAAPAAAAAAAAAAEAIAAA&#10;ACIAAABkcnMvZG93bnJldi54bWxQSwECFAAUAAAACACHTuJAldUuHdoBAACWAwAADgAAAAAAAAAB&#10;ACAAAAAgAQAAZHJzL2Uyb0RvYy54bWxQSwUGAAAAAAYABgBZAQAAbAUAAAAA&#10;">
                <v:fill on="f" focussize="0,0"/>
                <v:stroke color="#000000" joinstyle="round"/>
                <v:imagedata o:title=""/>
                <o:lock v:ext="edit" aspectratio="f"/>
              </v:line>
            </w:pict>
          </mc:Fallback>
        </mc:AlternateContent>
      </w:r>
      <w:r>
        <w:rPr>
          <w:rFonts w:hint="eastAsia" w:ascii="仿宋_GB2312" w:hAnsi="仿宋" w:eastAsia="仿宋_GB2312" w:cs="宋体"/>
          <w:kern w:val="0"/>
          <w:sz w:val="30"/>
          <w:szCs w:val="3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372745</wp:posOffset>
                </wp:positionV>
                <wp:extent cx="5497830" cy="0"/>
                <wp:effectExtent l="0" t="0" r="0" b="0"/>
                <wp:wrapNone/>
                <wp:docPr id="6" name="直接连接符 6"/>
                <wp:cNvGraphicFramePr/>
                <a:graphic xmlns:a="http://schemas.openxmlformats.org/drawingml/2006/main">
                  <a:graphicData uri="http://schemas.microsoft.com/office/word/2010/wordprocessingShape">
                    <wps:wsp>
                      <wps:cNvSpPr/>
                      <wps:spPr>
                        <a:xfrm>
                          <a:off x="0" y="0"/>
                          <a:ext cx="54978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9.35pt;height:0pt;width:432.9pt;z-index:251661312;mso-width-relative:page;mso-height-relative:page;" filled="f" stroked="t" coordsize="21600,21600" o:gfxdata="UEsDBAoAAAAAAIdO4kAAAAAAAAAAAAAAAAAEAAAAZHJzL1BLAwQUAAAACACHTuJACGM8TtQAAAAG&#10;AQAADwAAAGRycy9kb3ducmV2LnhtbE2PzU7DMBCE70i8g7VIXCpqt6htFOL0AOTGhQLqdRsvSUS8&#10;TmP3B56eRRzgODurmW+K9dn36khj7AJbmE0NKOI6uI4bC68v1U0GKiZkh31gsvBJEdbl5UWBuQsn&#10;fqbjJjVKQjjmaKFNaci1jnVLHuM0DMTivYfRYxI5NtqNeJJw3+u5MUvtsWNpaHGg+5bqj83BW4jV&#10;G+2rr0k9MdvbJtB8//D0iNZeX83MHahE5/T3DD/4gg6lMO3CgV1UvQUZkiwsshUocbPlQobsfg+6&#10;LPR//PIbUEsDBBQAAAAIAIdO4kCmaIKq2wEAAJYDAAAOAAAAZHJzL2Uyb0RvYy54bWytU81uEzEQ&#10;viP1HSzfm00CCe0qmx4I5YKgUukDTGzvriX/yeNmk5fgBZC4wYkjd96G8hgdO2nKzwUh9jA79oy/&#10;me/zeHGxtYZtVETtXcMnozFnygkvtesafvPu8vSMM0zgJBjvVMN3CvnF8uTJYgi1mvreG6kiIxCH&#10;9RAa3qcU6qpC0SsLOPJBOQq2PlpItIxdJSMMhG5NNR2P59XgowzRC4VIu6t9kC8Lftsqkd62LarE&#10;TMOpt1RsLHadbbVcQN1FCL0WhzbgH7qwoB0VPUKtIAG7jfoPKKtF9OjbNBLeVr5ttVCFA7GZjH9j&#10;c91DUIULiYPhKBP+P1jxZnMVmZYNn3PmwNIV3X34+v39px/fPpK9+/KZzbNIQ8Cacq/DVTyskNzM&#10;eNtGm//EhW2LsLujsGqbmKDN2bPz52dPSX/xEKseD4aI6ZXylmWn4Ua7zBlq2LzGRMUo9SElbxvH&#10;hoafz6YzggMamdZAItcGIoGuK2fRGy0vtTH5BMZu/cJEtoE8BOXLlAj3l7RcZAXY7/NKaD8evQL5&#10;0kmWdoHkcTTHPLdgleTMKBr77BEg1Am0+ZtMKm0cdZBV3euYvbWXO7qM2xB115MSk9JljtDll34P&#10;g5qn6+d1QXp8Tst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GM8TtQAAAAGAQAADwAAAAAAAAAB&#10;ACAAAAAiAAAAZHJzL2Rvd25yZXYueG1sUEsBAhQAFAAAAAgAh07iQKZogqrbAQAAlgMAAA4AAAAA&#10;AAAAAQAgAAAAIwEAAGRycy9lMm9Eb2MueG1sUEsFBgAAAAAGAAYAWQEAAHAFAAAAAA==&#10;">
                <v:fill on="f" focussize="0,0"/>
                <v:stroke color="#000000" joinstyle="round"/>
                <v:imagedata o:title=""/>
                <o:lock v:ext="edit" aspectratio="f"/>
              </v:line>
            </w:pict>
          </mc:Fallback>
        </mc:AlternateContent>
      </w:r>
      <w:r>
        <w:rPr>
          <w:rFonts w:hint="eastAsia" w:ascii="仿宋_GB2312" w:hAnsi="仿宋" w:eastAsia="仿宋_GB2312" w:cs="宋体"/>
          <w:kern w:val="0"/>
          <w:sz w:val="30"/>
          <w:szCs w:val="30"/>
        </w:rPr>
        <w:t>河南省教育厅办公室    主动公开    2018年9月7日印发</w:t>
      </w:r>
      <w:bookmarkStart w:id="0" w:name="_GoBack"/>
      <w:bookmarkEnd w:id="0"/>
    </w:p>
    <w:sectPr>
      <w:footerReference r:id="rId3" w:type="default"/>
      <w:pgSz w:w="11906" w:h="16838"/>
      <w:pgMar w:top="1928" w:right="1588" w:bottom="1985" w:left="1644" w:header="0" w:footer="1588" w:gutter="0"/>
      <w:cols w:space="425" w:num="1"/>
      <w:docGrid w:type="linesAndChars" w:linePitch="587" w:charSpace="2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outside" w:y="1"/>
      <w:rPr>
        <w:rStyle w:val="24"/>
        <w:rFonts w:hint="eastAsia" w:ascii="仿宋_GB2312" w:eastAsia="仿宋_GB2312"/>
        <w:sz w:val="28"/>
        <w:szCs w:val="28"/>
        <w:lang w:eastAsia="zh-CN"/>
      </w:rPr>
    </w:pPr>
    <w:r>
      <w:rPr>
        <w:rStyle w:val="24"/>
        <w:rFonts w:hint="eastAsia" w:ascii="仿宋_GB2312" w:eastAsia="仿宋_GB2312"/>
        <w:sz w:val="28"/>
        <w:szCs w:val="28"/>
        <w:lang w:eastAsia="zh-CN"/>
      </w:rPr>
      <w:t xml:space="preserve">— </w:t>
    </w:r>
    <w:r>
      <w:rPr>
        <w:rStyle w:val="24"/>
        <w:rFonts w:hint="eastAsia" w:ascii="仿宋_GB2312" w:eastAsia="仿宋_GB2312"/>
        <w:sz w:val="28"/>
        <w:szCs w:val="28"/>
      </w:rPr>
      <w:fldChar w:fldCharType="begin"/>
    </w:r>
    <w:r>
      <w:rPr>
        <w:rStyle w:val="24"/>
        <w:rFonts w:hint="eastAsia" w:ascii="仿宋_GB2312" w:eastAsia="仿宋_GB2312"/>
        <w:sz w:val="28"/>
        <w:szCs w:val="28"/>
      </w:rPr>
      <w:instrText xml:space="preserve"> PAGE </w:instrText>
    </w:r>
    <w:r>
      <w:rPr>
        <w:rStyle w:val="24"/>
        <w:rFonts w:hint="eastAsia" w:ascii="仿宋_GB2312" w:eastAsia="仿宋_GB2312"/>
        <w:sz w:val="28"/>
        <w:szCs w:val="28"/>
      </w:rPr>
      <w:fldChar w:fldCharType="separate"/>
    </w:r>
    <w:r>
      <w:rPr>
        <w:rStyle w:val="24"/>
        <w:rFonts w:ascii="仿宋_GB2312" w:eastAsia="仿宋_GB2312"/>
        <w:sz w:val="28"/>
        <w:szCs w:val="28"/>
      </w:rPr>
      <w:t>35</w:t>
    </w:r>
    <w:r>
      <w:rPr>
        <w:rStyle w:val="24"/>
        <w:rFonts w:hint="eastAsia" w:ascii="仿宋_GB2312" w:eastAsia="仿宋_GB2312"/>
        <w:sz w:val="28"/>
        <w:szCs w:val="28"/>
      </w:rPr>
      <w:fldChar w:fldCharType="end"/>
    </w:r>
    <w:r>
      <w:rPr>
        <w:rStyle w:val="24"/>
        <w:rFonts w:hint="eastAsia" w:ascii="仿宋_GB2312" w:eastAsia="仿宋_GB2312"/>
        <w:sz w:val="28"/>
        <w:szCs w:val="28"/>
        <w:lang w:eastAsia="zh-CN"/>
      </w:rPr>
      <w:t xml:space="preserve"> —</w:t>
    </w:r>
  </w:p>
  <w:p>
    <w:pPr>
      <w:pStyle w:val="20"/>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438998"/>
    <w:multiLevelType w:val="multilevel"/>
    <w:tmpl w:val="BC438998"/>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67"/>
    <w:rsid w:val="0008684F"/>
    <w:rsid w:val="000E1147"/>
    <w:rsid w:val="001455ED"/>
    <w:rsid w:val="002A3567"/>
    <w:rsid w:val="002A7ACF"/>
    <w:rsid w:val="00390248"/>
    <w:rsid w:val="003E0068"/>
    <w:rsid w:val="00430D93"/>
    <w:rsid w:val="00527C80"/>
    <w:rsid w:val="005C26BD"/>
    <w:rsid w:val="00677B0A"/>
    <w:rsid w:val="007853AF"/>
    <w:rsid w:val="007D7866"/>
    <w:rsid w:val="00804F21"/>
    <w:rsid w:val="00905AD9"/>
    <w:rsid w:val="00946F99"/>
    <w:rsid w:val="009C6E3D"/>
    <w:rsid w:val="009E7DBB"/>
    <w:rsid w:val="00A92F79"/>
    <w:rsid w:val="00B21B64"/>
    <w:rsid w:val="00D16C3A"/>
    <w:rsid w:val="00EF34DD"/>
    <w:rsid w:val="00F17394"/>
    <w:rsid w:val="03D63744"/>
    <w:rsid w:val="06A202AF"/>
    <w:rsid w:val="09221F79"/>
    <w:rsid w:val="0A5B3B5C"/>
    <w:rsid w:val="0C445CF7"/>
    <w:rsid w:val="0E163810"/>
    <w:rsid w:val="105F47A0"/>
    <w:rsid w:val="10767CDD"/>
    <w:rsid w:val="131229B4"/>
    <w:rsid w:val="147557BC"/>
    <w:rsid w:val="15610068"/>
    <w:rsid w:val="18A002C7"/>
    <w:rsid w:val="1B89267A"/>
    <w:rsid w:val="1DCB5503"/>
    <w:rsid w:val="1E410EA0"/>
    <w:rsid w:val="21646E5A"/>
    <w:rsid w:val="24BA1835"/>
    <w:rsid w:val="27A64ED8"/>
    <w:rsid w:val="27B07D18"/>
    <w:rsid w:val="282C2F41"/>
    <w:rsid w:val="2C2D270B"/>
    <w:rsid w:val="2C407FF3"/>
    <w:rsid w:val="2D072D11"/>
    <w:rsid w:val="2D8C3F71"/>
    <w:rsid w:val="2F221C2C"/>
    <w:rsid w:val="30765D4B"/>
    <w:rsid w:val="322E3840"/>
    <w:rsid w:val="32CD029C"/>
    <w:rsid w:val="38AB58DF"/>
    <w:rsid w:val="38D92846"/>
    <w:rsid w:val="414C13E1"/>
    <w:rsid w:val="426C1FBA"/>
    <w:rsid w:val="43991E49"/>
    <w:rsid w:val="456B5AF5"/>
    <w:rsid w:val="468029CC"/>
    <w:rsid w:val="48095A33"/>
    <w:rsid w:val="495235C5"/>
    <w:rsid w:val="4AE5019D"/>
    <w:rsid w:val="4C281629"/>
    <w:rsid w:val="50541CEB"/>
    <w:rsid w:val="5178719E"/>
    <w:rsid w:val="53070727"/>
    <w:rsid w:val="541603FD"/>
    <w:rsid w:val="5E6466DF"/>
    <w:rsid w:val="5EDF3688"/>
    <w:rsid w:val="5F340BBB"/>
    <w:rsid w:val="64062C59"/>
    <w:rsid w:val="64E836B4"/>
    <w:rsid w:val="65A87E12"/>
    <w:rsid w:val="67A604A8"/>
    <w:rsid w:val="67D11E17"/>
    <w:rsid w:val="68C10CD9"/>
    <w:rsid w:val="68DF25A7"/>
    <w:rsid w:val="6A0A3758"/>
    <w:rsid w:val="6DB16268"/>
    <w:rsid w:val="6F3E23D6"/>
    <w:rsid w:val="70E95F32"/>
    <w:rsid w:val="7126172B"/>
    <w:rsid w:val="71412B1C"/>
    <w:rsid w:val="7265291B"/>
    <w:rsid w:val="75C2602F"/>
    <w:rsid w:val="7B9A62AB"/>
    <w:rsid w:val="7DB40CD6"/>
    <w:rsid w:val="7FCB5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2"/>
    <w:qFormat/>
    <w:uiPriority w:val="0"/>
    <w:pPr>
      <w:numPr>
        <w:ilvl w:val="0"/>
        <w:numId w:val="1"/>
      </w:numPr>
      <w:spacing w:before="100" w:beforeLines="100" w:after="50" w:afterLines="50" w:line="240" w:lineRule="auto"/>
      <w:ind w:left="0" w:leftChars="0" w:firstLine="0" w:firstLineChars="0"/>
      <w:jc w:val="center"/>
      <w:outlineLvl w:val="0"/>
    </w:pPr>
    <w:rPr>
      <w:rFonts w:ascii="Times New Roman" w:hAnsi="Times New Roman" w:eastAsia="宋体"/>
      <w:b/>
      <w:smallCaps/>
      <w:spacing w:val="6"/>
      <w:sz w:val="32"/>
      <w:szCs w:val="32"/>
    </w:rPr>
  </w:style>
  <w:style w:type="paragraph" w:styleId="3">
    <w:name w:val="heading 2"/>
    <w:basedOn w:val="1"/>
    <w:next w:val="1"/>
    <w:link w:val="33"/>
    <w:semiHidden/>
    <w:unhideWhenUsed/>
    <w:qFormat/>
    <w:uiPriority w:val="0"/>
    <w:pPr>
      <w:numPr>
        <w:ilvl w:val="1"/>
        <w:numId w:val="1"/>
      </w:numPr>
      <w:spacing w:before="50" w:beforeLines="50" w:after="50" w:afterLines="50" w:line="360" w:lineRule="auto"/>
      <w:ind w:left="0" w:leftChars="0" w:firstLine="0" w:firstLineChars="0"/>
      <w:jc w:val="left"/>
      <w:outlineLvl w:val="1"/>
    </w:pPr>
    <w:rPr>
      <w:rFonts w:ascii="Times New Roman" w:hAnsi="Times New Roman" w:eastAsia="宋体"/>
      <w:b/>
      <w:smallCaps/>
      <w:spacing w:val="6"/>
      <w:sz w:val="30"/>
      <w:szCs w:val="28"/>
    </w:rPr>
  </w:style>
  <w:style w:type="paragraph" w:styleId="4">
    <w:name w:val="heading 3"/>
    <w:basedOn w:val="1"/>
    <w:next w:val="1"/>
    <w:link w:val="28"/>
    <w:semiHidden/>
    <w:unhideWhenUsed/>
    <w:qFormat/>
    <w:uiPriority w:val="0"/>
    <w:pPr>
      <w:numPr>
        <w:ilvl w:val="2"/>
        <w:numId w:val="1"/>
      </w:numPr>
      <w:spacing w:before="50" w:beforeLines="50" w:line="240" w:lineRule="auto"/>
      <w:ind w:left="0" w:firstLine="0" w:firstLineChars="0"/>
      <w:jc w:val="left"/>
      <w:outlineLvl w:val="2"/>
    </w:pPr>
    <w:rPr>
      <w:rFonts w:ascii="Times New Roman" w:hAnsi="Times New Roman" w:eastAsia="宋体"/>
      <w:b/>
      <w:smallCaps/>
      <w:spacing w:val="6"/>
      <w:sz w:val="28"/>
      <w:szCs w:val="24"/>
    </w:rPr>
  </w:style>
  <w:style w:type="paragraph" w:styleId="5">
    <w:name w:val="heading 4"/>
    <w:basedOn w:val="1"/>
    <w:next w:val="1"/>
    <w:link w:val="29"/>
    <w:semiHidden/>
    <w:unhideWhenUsed/>
    <w:qFormat/>
    <w:uiPriority w:val="0"/>
    <w:pPr>
      <w:numPr>
        <w:ilvl w:val="3"/>
        <w:numId w:val="1"/>
      </w:numPr>
      <w:spacing w:line="240" w:lineRule="auto"/>
      <w:ind w:left="0" w:firstLine="402" w:firstLineChars="0"/>
      <w:jc w:val="left"/>
      <w:outlineLvl w:val="3"/>
    </w:pPr>
    <w:rPr>
      <w:rFonts w:ascii="Times New Roman" w:hAnsi="Times New Roman" w:eastAsia="宋体"/>
      <w:smallCaps/>
      <w:spacing w:val="11"/>
      <w:sz w:val="28"/>
      <w:szCs w:val="22"/>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0" w:firstLine="402"/>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0" w:firstLine="402"/>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0" w:firstLine="402"/>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0" w:firstLine="402"/>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0" w:firstLine="402"/>
      <w:outlineLvl w:val="8"/>
    </w:pPr>
    <w:rPr>
      <w:rFonts w:ascii="Arial" w:hAnsi="Arial" w:eastAsia="黑体"/>
      <w:sz w:val="21"/>
    </w:rPr>
  </w:style>
  <w:style w:type="character" w:default="1" w:styleId="23">
    <w:name w:val="Default Paragraph Font"/>
    <w:unhideWhenUsed/>
    <w:qFormat/>
    <w:uiPriority w:val="1"/>
  </w:style>
  <w:style w:type="table" w:default="1" w:styleId="25">
    <w:name w:val="Normal Table"/>
    <w:semiHidden/>
    <w:qFormat/>
    <w:uiPriority w:val="0"/>
    <w:tblPr>
      <w:tblLayout w:type="fixed"/>
      <w:tblCellMar>
        <w:top w:w="0" w:type="dxa"/>
        <w:left w:w="108" w:type="dxa"/>
        <w:bottom w:w="0" w:type="dxa"/>
        <w:right w:w="108" w:type="dxa"/>
      </w:tblCellMar>
    </w:tblPr>
  </w:style>
  <w:style w:type="paragraph" w:styleId="11">
    <w:name w:val="annotation subject"/>
    <w:basedOn w:val="12"/>
    <w:next w:val="12"/>
    <w:link w:val="38"/>
    <w:semiHidden/>
    <w:qFormat/>
    <w:uiPriority w:val="0"/>
    <w:pPr>
      <w:spacing w:line="460" w:lineRule="exact"/>
    </w:pPr>
    <w:rPr>
      <w:b/>
      <w:bCs/>
      <w:szCs w:val="21"/>
    </w:rPr>
  </w:style>
  <w:style w:type="paragraph" w:styleId="12">
    <w:name w:val="annotation text"/>
    <w:basedOn w:val="1"/>
    <w:link w:val="37"/>
    <w:unhideWhenUsed/>
    <w:qFormat/>
    <w:uiPriority w:val="0"/>
    <w:pPr>
      <w:jc w:val="left"/>
    </w:pPr>
  </w:style>
  <w:style w:type="paragraph" w:styleId="13">
    <w:name w:val="Document Map"/>
    <w:basedOn w:val="1"/>
    <w:link w:val="39"/>
    <w:semiHidden/>
    <w:qFormat/>
    <w:uiPriority w:val="0"/>
    <w:rPr>
      <w:rFonts w:ascii="宋体" w:hAnsi="Times New Roman" w:eastAsia="Times New Roman"/>
      <w:kern w:val="0"/>
      <w:sz w:val="18"/>
      <w:szCs w:val="18"/>
    </w:rPr>
  </w:style>
  <w:style w:type="paragraph" w:styleId="14">
    <w:name w:val="Body Text"/>
    <w:basedOn w:val="1"/>
    <w:link w:val="40"/>
    <w:qFormat/>
    <w:uiPriority w:val="0"/>
    <w:pPr>
      <w:spacing w:line="380" w:lineRule="exact"/>
    </w:pPr>
    <w:rPr>
      <w:rFonts w:ascii="Times New Roman" w:hAnsi="Times New Roman" w:eastAsia="仿宋_GB2312"/>
      <w:sz w:val="28"/>
      <w:szCs w:val="20"/>
    </w:rPr>
  </w:style>
  <w:style w:type="paragraph" w:styleId="15">
    <w:name w:val="Body Text Indent"/>
    <w:basedOn w:val="1"/>
    <w:link w:val="41"/>
    <w:qFormat/>
    <w:uiPriority w:val="0"/>
    <w:pPr>
      <w:spacing w:line="460" w:lineRule="exact"/>
      <w:ind w:firstLine="630"/>
    </w:pPr>
    <w:rPr>
      <w:rFonts w:ascii="仿宋_GB2312" w:hAnsi="Times New Roman" w:eastAsia="仿宋_GB2312"/>
      <w:sz w:val="32"/>
      <w:szCs w:val="20"/>
    </w:rPr>
  </w:style>
  <w:style w:type="paragraph" w:styleId="16">
    <w:name w:val="Plain Text"/>
    <w:basedOn w:val="1"/>
    <w:link w:val="42"/>
    <w:qFormat/>
    <w:uiPriority w:val="0"/>
    <w:pPr>
      <w:spacing w:line="460" w:lineRule="exact"/>
    </w:pPr>
    <w:rPr>
      <w:rFonts w:ascii="宋体" w:hAnsi="Courier New" w:eastAsia="Times New Roman"/>
      <w:szCs w:val="20"/>
    </w:rPr>
  </w:style>
  <w:style w:type="paragraph" w:styleId="17">
    <w:name w:val="Date"/>
    <w:basedOn w:val="1"/>
    <w:next w:val="1"/>
    <w:link w:val="34"/>
    <w:qFormat/>
    <w:uiPriority w:val="0"/>
    <w:pPr>
      <w:ind w:left="100" w:leftChars="2500"/>
    </w:pPr>
  </w:style>
  <w:style w:type="paragraph" w:styleId="18">
    <w:name w:val="Body Text Indent 2"/>
    <w:basedOn w:val="1"/>
    <w:link w:val="43"/>
    <w:qFormat/>
    <w:uiPriority w:val="0"/>
    <w:pPr>
      <w:tabs>
        <w:tab w:val="left" w:pos="1809"/>
      </w:tabs>
      <w:adjustRightInd w:val="0"/>
      <w:spacing w:line="480" w:lineRule="exact"/>
      <w:ind w:firstLine="555"/>
      <w:jc w:val="left"/>
      <w:textAlignment w:val="bottom"/>
    </w:pPr>
    <w:rPr>
      <w:rFonts w:ascii="仿宋_GB2312" w:hAnsi="Times New Roman" w:eastAsia="仿宋_GB2312"/>
      <w:kern w:val="0"/>
      <w:sz w:val="28"/>
      <w:szCs w:val="20"/>
    </w:rPr>
  </w:style>
  <w:style w:type="paragraph" w:styleId="19">
    <w:name w:val="Balloon Text"/>
    <w:basedOn w:val="1"/>
    <w:link w:val="44"/>
    <w:semiHidden/>
    <w:qFormat/>
    <w:uiPriority w:val="0"/>
    <w:rPr>
      <w:rFonts w:ascii="Times New Roman" w:hAnsi="Times New Roman" w:eastAsia="Times New Roman"/>
      <w:kern w:val="0"/>
      <w:sz w:val="18"/>
      <w:szCs w:val="18"/>
    </w:rPr>
  </w:style>
  <w:style w:type="paragraph" w:styleId="20">
    <w:name w:val="footer"/>
    <w:basedOn w:val="1"/>
    <w:link w:val="36"/>
    <w:unhideWhenUsed/>
    <w:qFormat/>
    <w:uiPriority w:val="0"/>
    <w:pPr>
      <w:tabs>
        <w:tab w:val="center" w:pos="4153"/>
        <w:tab w:val="right" w:pos="8306"/>
      </w:tabs>
      <w:snapToGrid w:val="0"/>
      <w:jc w:val="left"/>
    </w:pPr>
    <w:rPr>
      <w:sz w:val="18"/>
      <w:szCs w:val="18"/>
    </w:rPr>
  </w:style>
  <w:style w:type="paragraph" w:styleId="21">
    <w:name w:val="header"/>
    <w:basedOn w:val="1"/>
    <w:link w:val="35"/>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Body Text Indent 3"/>
    <w:basedOn w:val="1"/>
    <w:link w:val="45"/>
    <w:qFormat/>
    <w:uiPriority w:val="0"/>
    <w:pPr>
      <w:adjustRightInd w:val="0"/>
      <w:snapToGrid w:val="0"/>
      <w:spacing w:line="360" w:lineRule="auto"/>
      <w:ind w:left="75" w:firstLine="345"/>
      <w:outlineLvl w:val="0"/>
    </w:pPr>
    <w:rPr>
      <w:rFonts w:ascii="宋体" w:hAnsi="Times New Roman" w:eastAsia="Times New Roman"/>
      <w:kern w:val="0"/>
      <w:szCs w:val="21"/>
    </w:rPr>
  </w:style>
  <w:style w:type="character" w:styleId="24">
    <w:name w:val="page number"/>
    <w:basedOn w:val="23"/>
    <w:qFormat/>
    <w:uiPriority w:val="0"/>
    <w:rPr>
      <w:rFonts w:ascii="Times New Roman" w:hAnsi="Times New Roman" w:eastAsia="宋体" w:cs="Times New Roman"/>
    </w:rPr>
  </w:style>
  <w:style w:type="table" w:styleId="26">
    <w:name w:val="Table Grid"/>
    <w:basedOn w:val="2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7">
    <w:name w:val="标题 1 Char"/>
    <w:basedOn w:val="23"/>
    <w:link w:val="2"/>
    <w:qFormat/>
    <w:locked/>
    <w:uiPriority w:val="99"/>
    <w:rPr>
      <w:rFonts w:ascii="Times New Roman" w:hAnsi="Times New Roman" w:eastAsia="宋体" w:cs="Times New Roman"/>
      <w:b/>
      <w:smallCaps/>
      <w:spacing w:val="6"/>
      <w:sz w:val="32"/>
      <w:szCs w:val="32"/>
    </w:rPr>
  </w:style>
  <w:style w:type="character" w:customStyle="1" w:styleId="28">
    <w:name w:val="标题 3 Char"/>
    <w:basedOn w:val="23"/>
    <w:link w:val="4"/>
    <w:qFormat/>
    <w:locked/>
    <w:uiPriority w:val="99"/>
    <w:rPr>
      <w:rFonts w:ascii="Times New Roman" w:hAnsi="Times New Roman" w:eastAsia="宋体" w:cs="Times New Roman"/>
      <w:b/>
      <w:smallCaps/>
      <w:spacing w:val="6"/>
      <w:sz w:val="28"/>
      <w:szCs w:val="24"/>
    </w:rPr>
  </w:style>
  <w:style w:type="character" w:customStyle="1" w:styleId="29">
    <w:name w:val="标题 4 Char"/>
    <w:basedOn w:val="23"/>
    <w:link w:val="5"/>
    <w:semiHidden/>
    <w:qFormat/>
    <w:locked/>
    <w:uiPriority w:val="99"/>
    <w:rPr>
      <w:rFonts w:ascii="Times New Roman" w:hAnsi="Times New Roman" w:eastAsia="宋体" w:cs="Times New Roman"/>
      <w:smallCaps/>
      <w:spacing w:val="11"/>
      <w:sz w:val="28"/>
      <w:szCs w:val="22"/>
    </w:rPr>
  </w:style>
  <w:style w:type="character" w:customStyle="1" w:styleId="30">
    <w:name w:val="标题 2 Char"/>
    <w:basedOn w:val="23"/>
    <w:link w:val="3"/>
    <w:qFormat/>
    <w:locked/>
    <w:uiPriority w:val="99"/>
    <w:rPr>
      <w:rFonts w:ascii="Times New Roman" w:hAnsi="Times New Roman" w:eastAsia="宋体" w:cs="Times New Roman"/>
      <w:b/>
      <w:smallCaps/>
      <w:spacing w:val="6"/>
      <w:sz w:val="30"/>
      <w:szCs w:val="28"/>
    </w:rPr>
  </w:style>
  <w:style w:type="paragraph" w:customStyle="1" w:styleId="31">
    <w:name w:val="Char"/>
    <w:basedOn w:val="1"/>
    <w:qFormat/>
    <w:uiPriority w:val="0"/>
    <w:rPr>
      <w:rFonts w:ascii="Times New Roman" w:hAnsi="Times New Roman" w:eastAsia="仿宋_GB2312"/>
      <w:sz w:val="32"/>
      <w:szCs w:val="32"/>
    </w:rPr>
  </w:style>
  <w:style w:type="character" w:customStyle="1" w:styleId="32">
    <w:name w:val="标题 1 字符"/>
    <w:link w:val="2"/>
    <w:qFormat/>
    <w:uiPriority w:val="0"/>
    <w:rPr>
      <w:rFonts w:ascii="宋体" w:hAnsi="宋体" w:eastAsia="宋体" w:cs="Times New Roman"/>
      <w:b/>
      <w:bCs/>
      <w:kern w:val="36"/>
      <w:sz w:val="48"/>
      <w:szCs w:val="48"/>
      <w:lang w:bidi="ar-SA"/>
    </w:rPr>
  </w:style>
  <w:style w:type="character" w:customStyle="1" w:styleId="33">
    <w:name w:val="标题 2 字符"/>
    <w:link w:val="3"/>
    <w:qFormat/>
    <w:uiPriority w:val="0"/>
    <w:rPr>
      <w:rFonts w:ascii="宋体" w:hAnsi="Times New Roman" w:eastAsia="宋体" w:cs="Times New Roman"/>
      <w:b/>
      <w:bCs/>
      <w:sz w:val="36"/>
      <w:szCs w:val="36"/>
      <w:lang w:bidi="ar-SA"/>
    </w:rPr>
  </w:style>
  <w:style w:type="character" w:customStyle="1" w:styleId="34">
    <w:name w:val="日期 字符"/>
    <w:link w:val="17"/>
    <w:qFormat/>
    <w:uiPriority w:val="0"/>
    <w:rPr>
      <w:rFonts w:ascii="Calibri" w:hAnsi="Calibri" w:eastAsia="宋体" w:cs="Times New Roman"/>
      <w:kern w:val="2"/>
      <w:sz w:val="21"/>
      <w:szCs w:val="22"/>
      <w:lang w:val="en-US" w:eastAsia="zh-CN" w:bidi="ar-SA"/>
    </w:rPr>
  </w:style>
  <w:style w:type="character" w:customStyle="1" w:styleId="35">
    <w:name w:val="页眉 字符"/>
    <w:link w:val="21"/>
    <w:qFormat/>
    <w:uiPriority w:val="0"/>
    <w:rPr>
      <w:rFonts w:ascii="Calibri" w:hAnsi="Calibri" w:eastAsia="宋体" w:cs="Times New Roman"/>
      <w:kern w:val="2"/>
      <w:sz w:val="18"/>
      <w:szCs w:val="18"/>
      <w:lang w:bidi="ar-SA"/>
    </w:rPr>
  </w:style>
  <w:style w:type="character" w:customStyle="1" w:styleId="36">
    <w:name w:val="页脚 字符"/>
    <w:link w:val="20"/>
    <w:qFormat/>
    <w:uiPriority w:val="0"/>
    <w:rPr>
      <w:rFonts w:ascii="Calibri" w:hAnsi="Calibri" w:eastAsia="宋体" w:cs="Times New Roman"/>
      <w:kern w:val="2"/>
      <w:sz w:val="18"/>
      <w:szCs w:val="18"/>
      <w:lang w:bidi="ar-SA"/>
    </w:rPr>
  </w:style>
  <w:style w:type="character" w:customStyle="1" w:styleId="37">
    <w:name w:val="批注文字 字符"/>
    <w:link w:val="12"/>
    <w:qFormat/>
    <w:uiPriority w:val="0"/>
    <w:rPr>
      <w:rFonts w:ascii="Calibri" w:hAnsi="Calibri" w:eastAsia="宋体" w:cs="Times New Roman"/>
      <w:kern w:val="2"/>
      <w:sz w:val="21"/>
      <w:szCs w:val="22"/>
      <w:lang w:bidi="ar-SA"/>
    </w:rPr>
  </w:style>
  <w:style w:type="character" w:customStyle="1" w:styleId="38">
    <w:name w:val="批注主题 字符"/>
    <w:link w:val="11"/>
    <w:semiHidden/>
    <w:qFormat/>
    <w:uiPriority w:val="0"/>
    <w:rPr>
      <w:rFonts w:ascii="Calibri" w:hAnsi="Calibri" w:eastAsia="宋体" w:cs="Times New Roman"/>
      <w:b/>
      <w:bCs/>
      <w:kern w:val="2"/>
      <w:sz w:val="21"/>
      <w:szCs w:val="21"/>
      <w:lang w:bidi="ar-SA"/>
    </w:rPr>
  </w:style>
  <w:style w:type="character" w:customStyle="1" w:styleId="39">
    <w:name w:val="文档结构图 字符"/>
    <w:link w:val="13"/>
    <w:semiHidden/>
    <w:qFormat/>
    <w:uiPriority w:val="0"/>
    <w:rPr>
      <w:rFonts w:ascii="宋体" w:hAnsi="Times New Roman" w:eastAsia="宋体" w:cs="Times New Roman"/>
      <w:sz w:val="18"/>
      <w:szCs w:val="18"/>
      <w:lang w:bidi="ar-SA"/>
    </w:rPr>
  </w:style>
  <w:style w:type="character" w:customStyle="1" w:styleId="40">
    <w:name w:val="正文文本 字符"/>
    <w:link w:val="14"/>
    <w:qFormat/>
    <w:uiPriority w:val="0"/>
    <w:rPr>
      <w:rFonts w:ascii="Times New Roman" w:hAnsi="Times New Roman" w:eastAsia="仿宋_GB2312" w:cs="Times New Roman"/>
      <w:kern w:val="2"/>
      <w:sz w:val="28"/>
      <w:lang w:bidi="ar-SA"/>
    </w:rPr>
  </w:style>
  <w:style w:type="character" w:customStyle="1" w:styleId="41">
    <w:name w:val="正文文本缩进 字符"/>
    <w:link w:val="15"/>
    <w:qFormat/>
    <w:uiPriority w:val="0"/>
    <w:rPr>
      <w:rFonts w:ascii="仿宋_GB2312" w:hAnsi="Times New Roman" w:eastAsia="仿宋_GB2312" w:cs="Times New Roman"/>
      <w:kern w:val="2"/>
      <w:sz w:val="32"/>
      <w:lang w:bidi="ar-SA"/>
    </w:rPr>
  </w:style>
  <w:style w:type="character" w:customStyle="1" w:styleId="42">
    <w:name w:val="纯文本 字符"/>
    <w:link w:val="16"/>
    <w:qFormat/>
    <w:uiPriority w:val="0"/>
    <w:rPr>
      <w:rFonts w:ascii="宋体" w:hAnsi="Courier New" w:eastAsia="宋体" w:cs="Times New Roman"/>
      <w:kern w:val="2"/>
      <w:sz w:val="21"/>
      <w:lang w:bidi="ar-SA"/>
    </w:rPr>
  </w:style>
  <w:style w:type="character" w:customStyle="1" w:styleId="43">
    <w:name w:val="正文文本缩进 2 字符"/>
    <w:link w:val="18"/>
    <w:qFormat/>
    <w:uiPriority w:val="0"/>
    <w:rPr>
      <w:rFonts w:ascii="仿宋_GB2312" w:hAnsi="Times New Roman" w:eastAsia="仿宋_GB2312" w:cs="Times New Roman"/>
      <w:sz w:val="28"/>
      <w:lang w:bidi="ar-SA"/>
    </w:rPr>
  </w:style>
  <w:style w:type="character" w:customStyle="1" w:styleId="44">
    <w:name w:val="批注框文本 字符"/>
    <w:link w:val="19"/>
    <w:semiHidden/>
    <w:qFormat/>
    <w:uiPriority w:val="0"/>
    <w:rPr>
      <w:rFonts w:ascii="Times New Roman" w:hAnsi="Times New Roman" w:eastAsia="宋体" w:cs="Times New Roman"/>
      <w:sz w:val="18"/>
      <w:szCs w:val="18"/>
      <w:lang w:bidi="ar-SA"/>
    </w:rPr>
  </w:style>
  <w:style w:type="character" w:customStyle="1" w:styleId="45">
    <w:name w:val="正文文本缩进 3 字符"/>
    <w:link w:val="22"/>
    <w:qFormat/>
    <w:uiPriority w:val="0"/>
    <w:rPr>
      <w:rFonts w:ascii="宋体" w:hAnsi="Times New Roman" w:eastAsia="宋体" w:cs="Times New Roman"/>
      <w:sz w:val="21"/>
      <w:szCs w:val="21"/>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bmp"/><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zh-yanyan</dc:creator>
  <cp:lastModifiedBy>zh-yanyan</cp:lastModifiedBy>
  <dcterms:modified xsi:type="dcterms:W3CDTF">2018-09-13T07:49:40Z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